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48" w:rsidRPr="00487748" w:rsidRDefault="00487748" w:rsidP="00487748">
      <w:pPr>
        <w:framePr w:hSpace="180" w:wrap="auto" w:vAnchor="text" w:hAnchor="text" w:y="1"/>
        <w:spacing w:before="120" w:line="240" w:lineRule="atLeast"/>
        <w:ind w:firstLine="0"/>
        <w:suppressOverlap/>
        <w:jc w:val="center"/>
        <w:rPr>
          <w:b/>
          <w:bCs/>
          <w:sz w:val="20"/>
        </w:rPr>
      </w:pPr>
      <w:r w:rsidRPr="00487748">
        <w:rPr>
          <w:b/>
          <w:bCs/>
          <w:sz w:val="20"/>
        </w:rPr>
        <w:t>УПРАВЛЕНИЕ  ЭКОЛОГИИ  И ПРИРОДНЫХ РЕСУРСОВ  ЛИПЕЦКОЙ ОБЛАСТИ</w:t>
      </w:r>
    </w:p>
    <w:p w:rsidR="00487748" w:rsidRPr="007E1B41" w:rsidRDefault="00487748" w:rsidP="00487748">
      <w:pPr>
        <w:framePr w:hSpace="180" w:wrap="auto" w:vAnchor="text" w:hAnchor="text" w:y="1"/>
        <w:suppressOverlap/>
        <w:jc w:val="center"/>
        <w:rPr>
          <w:sz w:val="24"/>
          <w:szCs w:val="16"/>
        </w:rPr>
      </w:pPr>
      <w:smartTag w:uri="urn:schemas-microsoft-com:office:smarttags" w:element="metricconverter">
        <w:smartTagPr>
          <w:attr w:name="ProductID" w:val="398050, г"/>
        </w:smartTagPr>
        <w:r w:rsidRPr="007E1B41">
          <w:rPr>
            <w:sz w:val="24"/>
            <w:szCs w:val="16"/>
          </w:rPr>
          <w:t>398050, г</w:t>
        </w:r>
      </w:smartTag>
      <w:r w:rsidRPr="007E1B41">
        <w:rPr>
          <w:sz w:val="24"/>
          <w:szCs w:val="16"/>
        </w:rPr>
        <w:t>. Липецк, пл. Плеханова, д.1</w:t>
      </w:r>
      <w:r>
        <w:rPr>
          <w:sz w:val="24"/>
          <w:szCs w:val="16"/>
        </w:rPr>
        <w:t xml:space="preserve">, </w:t>
      </w:r>
      <w:r w:rsidRPr="00487748">
        <w:rPr>
          <w:sz w:val="24"/>
          <w:szCs w:val="16"/>
        </w:rPr>
        <w:t xml:space="preserve"> </w:t>
      </w:r>
      <w:r w:rsidRPr="007E1B41">
        <w:rPr>
          <w:sz w:val="24"/>
          <w:szCs w:val="16"/>
        </w:rPr>
        <w:t>тел. 27-96-47</w:t>
      </w:r>
    </w:p>
    <w:p w:rsidR="00487748" w:rsidRDefault="00487748" w:rsidP="00487748">
      <w:pPr>
        <w:jc w:val="center"/>
        <w:rPr>
          <w:szCs w:val="28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60"/>
        <w:rPr>
          <w:szCs w:val="28"/>
        </w:rPr>
      </w:pPr>
    </w:p>
    <w:p w:rsidR="00487748" w:rsidRPr="00487748" w:rsidRDefault="00487748" w:rsidP="00487748">
      <w:pPr>
        <w:autoSpaceDE w:val="0"/>
        <w:autoSpaceDN w:val="0"/>
        <w:adjustRightInd w:val="0"/>
        <w:spacing w:line="240" w:lineRule="auto"/>
        <w:ind w:firstLine="560"/>
        <w:jc w:val="center"/>
        <w:rPr>
          <w:rFonts w:ascii="Arial" w:hAnsi="Arial" w:cs="Arial"/>
          <w:b/>
          <w:szCs w:val="28"/>
        </w:rPr>
      </w:pPr>
      <w:r w:rsidRPr="00487748">
        <w:rPr>
          <w:rFonts w:ascii="Arial" w:hAnsi="Arial" w:cs="Arial"/>
          <w:b/>
          <w:szCs w:val="28"/>
        </w:rPr>
        <w:t xml:space="preserve">Разъяснения о форме и содержании документов и материалов, предоставляемых в управление экологии и природных ресурсов Липецкой области для получения лицензии на подземную воду (на основе Закона Липецкой области от 01.12.2008 № 211-ОЗ «О </w:t>
      </w:r>
      <w:r w:rsidR="0084137F" w:rsidRPr="00487748">
        <w:rPr>
          <w:rFonts w:ascii="Arial" w:hAnsi="Arial" w:cs="Arial"/>
          <w:b/>
          <w:szCs w:val="28"/>
        </w:rPr>
        <w:t>прав</w:t>
      </w:r>
      <w:r w:rsidR="0084137F" w:rsidRPr="00487748">
        <w:rPr>
          <w:rFonts w:ascii="Arial" w:hAnsi="Arial" w:cs="Arial"/>
          <w:b/>
          <w:szCs w:val="28"/>
        </w:rPr>
        <w:t>о</w:t>
      </w:r>
      <w:r w:rsidR="0084137F" w:rsidRPr="00487748">
        <w:rPr>
          <w:rFonts w:ascii="Arial" w:hAnsi="Arial" w:cs="Arial"/>
          <w:b/>
          <w:szCs w:val="28"/>
        </w:rPr>
        <w:t xml:space="preserve">вом регулировании некоторых вопросов природопользования в </w:t>
      </w:r>
      <w:r w:rsidRPr="00487748">
        <w:rPr>
          <w:rFonts w:ascii="Arial" w:hAnsi="Arial" w:cs="Arial"/>
          <w:b/>
          <w:szCs w:val="28"/>
        </w:rPr>
        <w:t>Л</w:t>
      </w:r>
      <w:r w:rsidR="0084137F" w:rsidRPr="00487748">
        <w:rPr>
          <w:rFonts w:ascii="Arial" w:hAnsi="Arial" w:cs="Arial"/>
          <w:b/>
          <w:szCs w:val="28"/>
        </w:rPr>
        <w:t>ипецкой области</w:t>
      </w:r>
      <w:r w:rsidRPr="00487748">
        <w:rPr>
          <w:rFonts w:ascii="Arial" w:hAnsi="Arial" w:cs="Arial"/>
          <w:b/>
          <w:szCs w:val="28"/>
        </w:rPr>
        <w:t>»).</w:t>
      </w:r>
      <w:bookmarkStart w:id="0" w:name="_GoBack"/>
      <w:bookmarkEnd w:id="0"/>
    </w:p>
    <w:p w:rsidR="00487748" w:rsidRDefault="00487748" w:rsidP="004877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201729">
        <w:rPr>
          <w:rFonts w:ascii="Arial" w:hAnsi="Arial" w:cs="Arial"/>
          <w:sz w:val="22"/>
          <w:szCs w:val="22"/>
        </w:rPr>
        <w:t xml:space="preserve">Для принятия решения о предоставлении права пользования участком недр местного значения для добычи подземных вод или для геологического изучения в целях поисков и оценки подземных вод и их добычи </w:t>
      </w:r>
      <w:r w:rsidRPr="00201729">
        <w:rPr>
          <w:rFonts w:ascii="Arial" w:hAnsi="Arial" w:cs="Arial"/>
          <w:b/>
          <w:sz w:val="22"/>
          <w:szCs w:val="22"/>
          <w:u w:val="single"/>
        </w:rPr>
        <w:t>в случае наличия на участке недр скважины</w:t>
      </w:r>
      <w:r w:rsidRPr="00201729">
        <w:rPr>
          <w:rFonts w:ascii="Arial" w:hAnsi="Arial" w:cs="Arial"/>
          <w:sz w:val="22"/>
          <w:szCs w:val="22"/>
        </w:rPr>
        <w:t xml:space="preserve"> заяв</w:t>
      </w:r>
      <w:r w:rsidRPr="00201729">
        <w:rPr>
          <w:rFonts w:ascii="Arial" w:hAnsi="Arial" w:cs="Arial"/>
          <w:sz w:val="22"/>
          <w:szCs w:val="22"/>
        </w:rPr>
        <w:t>и</w:t>
      </w:r>
      <w:r w:rsidRPr="00201729">
        <w:rPr>
          <w:rFonts w:ascii="Arial" w:hAnsi="Arial" w:cs="Arial"/>
          <w:sz w:val="22"/>
          <w:szCs w:val="22"/>
        </w:rPr>
        <w:t>тель предоставляет в управление экологии и природных ресурсов Липецкой области:</w:t>
      </w:r>
    </w:p>
    <w:p w:rsidR="00487748" w:rsidRPr="00FF0436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8"/>
        </w:rPr>
      </w:pPr>
      <w:r w:rsidRPr="00201729">
        <w:rPr>
          <w:rFonts w:ascii="Arial" w:hAnsi="Arial" w:cs="Arial"/>
          <w:b/>
          <w:sz w:val="22"/>
          <w:szCs w:val="22"/>
        </w:rPr>
        <w:t xml:space="preserve">1) </w:t>
      </w:r>
      <w:hyperlink w:anchor="Par206" w:history="1">
        <w:r w:rsidRPr="00201729">
          <w:rPr>
            <w:rFonts w:ascii="Arial" w:hAnsi="Arial" w:cs="Arial"/>
            <w:b/>
            <w:sz w:val="22"/>
            <w:szCs w:val="22"/>
          </w:rPr>
          <w:t>заявление</w:t>
        </w:r>
      </w:hyperlink>
      <w:r w:rsidRPr="00201729">
        <w:rPr>
          <w:rFonts w:ascii="Arial" w:hAnsi="Arial" w:cs="Arial"/>
          <w:b/>
          <w:sz w:val="22"/>
          <w:szCs w:val="22"/>
        </w:rPr>
        <w:t xml:space="preserve"> на предоставление права пользования недрами</w:t>
      </w:r>
      <w:r w:rsidRPr="00201729">
        <w:rPr>
          <w:rFonts w:ascii="Arial" w:hAnsi="Arial" w:cs="Arial"/>
          <w:sz w:val="22"/>
          <w:szCs w:val="22"/>
        </w:rPr>
        <w:t xml:space="preserve"> </w:t>
      </w:r>
      <w:r w:rsidRPr="00FF0436">
        <w:rPr>
          <w:rFonts w:ascii="Arial" w:hAnsi="Arial" w:cs="Arial"/>
          <w:sz w:val="22"/>
          <w:szCs w:val="22"/>
        </w:rPr>
        <w:t>(заполняемое по форме, установленной приложением к Закону Липецкой области от 01.12.2008 № 211-ОЗ "О правовом регулировании некоторых вопросов природопользования в Липецкой области").</w:t>
      </w: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2"/>
          <w:szCs w:val="22"/>
        </w:rPr>
      </w:pP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  <w:r w:rsidRPr="00201729">
        <w:rPr>
          <w:rFonts w:ascii="Arial" w:hAnsi="Arial" w:cs="Arial"/>
          <w:b/>
          <w:sz w:val="22"/>
          <w:szCs w:val="22"/>
        </w:rPr>
        <w:t>2) учредительные документы с приложениями, изменениями и дополнениями;</w:t>
      </w: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2"/>
          <w:szCs w:val="22"/>
        </w:rPr>
      </w:pP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  <w:r w:rsidRPr="00201729">
        <w:rPr>
          <w:rFonts w:ascii="Arial" w:hAnsi="Arial" w:cs="Arial"/>
          <w:b/>
          <w:sz w:val="22"/>
          <w:szCs w:val="22"/>
        </w:rPr>
        <w:t>3) документы, подтверждающие финансовые возможности заявителя, необход</w:t>
      </w:r>
      <w:r w:rsidRPr="00201729">
        <w:rPr>
          <w:rFonts w:ascii="Arial" w:hAnsi="Arial" w:cs="Arial"/>
          <w:b/>
          <w:sz w:val="22"/>
          <w:szCs w:val="22"/>
        </w:rPr>
        <w:t>и</w:t>
      </w:r>
      <w:r w:rsidRPr="00201729">
        <w:rPr>
          <w:rFonts w:ascii="Arial" w:hAnsi="Arial" w:cs="Arial"/>
          <w:b/>
          <w:sz w:val="22"/>
          <w:szCs w:val="22"/>
        </w:rPr>
        <w:t>мые для выполнения работ, связанных с заявленным видом пользования недрами, а именно:</w:t>
      </w: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8"/>
        </w:rPr>
      </w:pPr>
      <w:r w:rsidRPr="00201729">
        <w:rPr>
          <w:rFonts w:ascii="Arial" w:hAnsi="Arial" w:cs="Arial"/>
          <w:sz w:val="22"/>
          <w:szCs w:val="22"/>
        </w:rPr>
        <w:t xml:space="preserve">бухгалтерский баланс и отчет о прибылях и убытках или налоговая декларация по налогу, уплачиваемому в связи с применением упрощенной системы налогообложения, за последний отчетный период с отметкой налогового органа о принятии </w:t>
      </w:r>
      <w:r w:rsidRPr="00487748">
        <w:rPr>
          <w:i/>
          <w:sz w:val="24"/>
          <w:szCs w:val="24"/>
        </w:rPr>
        <w:t>– предоставляются в обязательном порядке и являются формами годовой отчетности</w:t>
      </w:r>
      <w:r w:rsidRPr="00487748">
        <w:rPr>
          <w:rFonts w:ascii="Arial" w:hAnsi="Arial" w:cs="Arial"/>
          <w:sz w:val="24"/>
          <w:szCs w:val="24"/>
        </w:rPr>
        <w:t>;</w:t>
      </w:r>
    </w:p>
    <w:p w:rsidR="00487748" w:rsidRP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201729">
        <w:rPr>
          <w:rFonts w:ascii="Arial" w:hAnsi="Arial" w:cs="Arial"/>
          <w:sz w:val="22"/>
          <w:szCs w:val="22"/>
        </w:rPr>
        <w:t xml:space="preserve">договор займа с приложением акта получения заемщиком денежных средств (при наличии) </w:t>
      </w:r>
      <w:r w:rsidRPr="00201729">
        <w:rPr>
          <w:i/>
          <w:szCs w:val="28"/>
        </w:rPr>
        <w:t xml:space="preserve">– </w:t>
      </w:r>
      <w:r w:rsidRPr="00487748">
        <w:rPr>
          <w:i/>
          <w:sz w:val="24"/>
          <w:szCs w:val="24"/>
        </w:rPr>
        <w:t>предоставляется в случае недостатка денежных средств или при отрицател</w:t>
      </w:r>
      <w:r w:rsidRPr="00487748">
        <w:rPr>
          <w:i/>
          <w:sz w:val="24"/>
          <w:szCs w:val="24"/>
        </w:rPr>
        <w:t>ь</w:t>
      </w:r>
      <w:r w:rsidRPr="00487748">
        <w:rPr>
          <w:i/>
          <w:sz w:val="24"/>
          <w:szCs w:val="24"/>
        </w:rPr>
        <w:t>ном балансе</w:t>
      </w:r>
      <w:r w:rsidRPr="00487748">
        <w:rPr>
          <w:rFonts w:ascii="Arial" w:hAnsi="Arial" w:cs="Arial"/>
          <w:sz w:val="24"/>
          <w:szCs w:val="24"/>
        </w:rPr>
        <w:t>;</w:t>
      </w:r>
    </w:p>
    <w:p w:rsidR="00487748" w:rsidRP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201729">
        <w:rPr>
          <w:rFonts w:ascii="Arial" w:hAnsi="Arial" w:cs="Arial"/>
          <w:sz w:val="22"/>
          <w:szCs w:val="22"/>
        </w:rPr>
        <w:t xml:space="preserve">кредитный договор для предоставления целевого кредита (при наличии) </w:t>
      </w:r>
      <w:r w:rsidRPr="00201729">
        <w:rPr>
          <w:i/>
          <w:szCs w:val="28"/>
        </w:rPr>
        <w:t xml:space="preserve">– </w:t>
      </w:r>
      <w:r w:rsidRPr="00487748">
        <w:rPr>
          <w:i/>
          <w:sz w:val="24"/>
          <w:szCs w:val="24"/>
        </w:rPr>
        <w:t>предоста</w:t>
      </w:r>
      <w:r w:rsidRPr="00487748">
        <w:rPr>
          <w:i/>
          <w:sz w:val="24"/>
          <w:szCs w:val="24"/>
        </w:rPr>
        <w:t>в</w:t>
      </w:r>
      <w:r w:rsidRPr="00487748">
        <w:rPr>
          <w:i/>
          <w:sz w:val="24"/>
          <w:szCs w:val="24"/>
        </w:rPr>
        <w:t>ляется в случае недостатка денежных средств или при отрицательном балансе</w:t>
      </w:r>
      <w:r w:rsidRPr="00487748">
        <w:rPr>
          <w:rFonts w:ascii="Arial" w:hAnsi="Arial" w:cs="Arial"/>
          <w:sz w:val="24"/>
          <w:szCs w:val="24"/>
        </w:rPr>
        <w:t>;</w:t>
      </w: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  <w:proofErr w:type="gramStart"/>
      <w:r w:rsidRPr="00201729">
        <w:rPr>
          <w:rFonts w:ascii="Arial" w:hAnsi="Arial" w:cs="Arial"/>
          <w:b/>
          <w:sz w:val="22"/>
          <w:szCs w:val="22"/>
        </w:rPr>
        <w:t>4) документы, подтверждающие наличие у заявителя или привлекаемых им юр</w:t>
      </w:r>
      <w:r w:rsidRPr="00201729">
        <w:rPr>
          <w:rFonts w:ascii="Arial" w:hAnsi="Arial" w:cs="Arial"/>
          <w:b/>
          <w:sz w:val="22"/>
          <w:szCs w:val="22"/>
        </w:rPr>
        <w:t>и</w:t>
      </w:r>
      <w:r w:rsidRPr="00201729">
        <w:rPr>
          <w:rFonts w:ascii="Arial" w:hAnsi="Arial" w:cs="Arial"/>
          <w:b/>
          <w:sz w:val="22"/>
          <w:szCs w:val="22"/>
        </w:rPr>
        <w:t>дических и физических лиц квалифицированных специалистов, необходимых для выполнения работ, связанных с заявленным видом пользования недрами: выписка из штатного расписания заявителя на дату подачи заявления с приложением приказов о приеме на работу, дипломов, свидетельств, удостоверений, подтверждающих кв</w:t>
      </w:r>
      <w:r w:rsidRPr="00201729">
        <w:rPr>
          <w:rFonts w:ascii="Arial" w:hAnsi="Arial" w:cs="Arial"/>
          <w:b/>
          <w:sz w:val="22"/>
          <w:szCs w:val="22"/>
        </w:rPr>
        <w:t>а</w:t>
      </w:r>
      <w:r w:rsidRPr="00201729">
        <w:rPr>
          <w:rFonts w:ascii="Arial" w:hAnsi="Arial" w:cs="Arial"/>
          <w:b/>
          <w:sz w:val="22"/>
          <w:szCs w:val="22"/>
        </w:rPr>
        <w:t>лификацию специалистов, и (или) гражданско-правовых договоров о привлечении специалистов, необходимых для выполнения работ, связанных с</w:t>
      </w:r>
      <w:proofErr w:type="gramEnd"/>
      <w:r w:rsidRPr="00201729">
        <w:rPr>
          <w:rFonts w:ascii="Arial" w:hAnsi="Arial" w:cs="Arial"/>
          <w:b/>
          <w:sz w:val="22"/>
          <w:szCs w:val="22"/>
        </w:rPr>
        <w:t xml:space="preserve"> заявленным видом пользования недрами, с приложением дипломов, свидетельств, удостоверений, по</w:t>
      </w:r>
      <w:r w:rsidRPr="00201729">
        <w:rPr>
          <w:rFonts w:ascii="Arial" w:hAnsi="Arial" w:cs="Arial"/>
          <w:b/>
          <w:sz w:val="22"/>
          <w:szCs w:val="22"/>
        </w:rPr>
        <w:t>д</w:t>
      </w:r>
      <w:r w:rsidRPr="00201729">
        <w:rPr>
          <w:rFonts w:ascii="Arial" w:hAnsi="Arial" w:cs="Arial"/>
          <w:b/>
          <w:sz w:val="22"/>
          <w:szCs w:val="22"/>
        </w:rPr>
        <w:t>тверждающих квалификацию специалистов;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Специалистами в данном случае являются те, кто по решению руководства организ</w:t>
      </w:r>
      <w:r w:rsidRPr="00EB1274">
        <w:rPr>
          <w:i/>
          <w:sz w:val="24"/>
          <w:szCs w:val="24"/>
        </w:rPr>
        <w:t>а</w:t>
      </w:r>
      <w:r w:rsidRPr="00EB1274">
        <w:rPr>
          <w:i/>
          <w:sz w:val="24"/>
          <w:szCs w:val="24"/>
        </w:rPr>
        <w:t>ции отвечает за безопасную эксплуатацию скважин и приборов учета, их ремонт, обесп</w:t>
      </w:r>
      <w:r w:rsidRPr="00EB1274">
        <w:rPr>
          <w:i/>
          <w:sz w:val="24"/>
          <w:szCs w:val="24"/>
        </w:rPr>
        <w:t>е</w:t>
      </w:r>
      <w:r w:rsidRPr="00EB1274">
        <w:rPr>
          <w:i/>
          <w:sz w:val="24"/>
          <w:szCs w:val="24"/>
        </w:rPr>
        <w:t>чение нормального технического состояния скважины и зоны санитарной охраны 1 пояса. Выписка из штатного расписания должна содержать сведения об этих сотрудниках орг</w:t>
      </w:r>
      <w:r w:rsidRPr="00EB1274">
        <w:rPr>
          <w:i/>
          <w:sz w:val="24"/>
          <w:szCs w:val="24"/>
        </w:rPr>
        <w:t>а</w:t>
      </w:r>
      <w:r w:rsidRPr="00EB1274">
        <w:rPr>
          <w:i/>
          <w:sz w:val="24"/>
          <w:szCs w:val="24"/>
        </w:rPr>
        <w:t xml:space="preserve">низации (к выписке прилагаются приказы о приеме их на работу и дипломы, свидетельства, удостоверения, подтверждающие их квалификацию). </w:t>
      </w:r>
      <w:proofErr w:type="gramStart"/>
      <w:r w:rsidRPr="00EB1274">
        <w:rPr>
          <w:i/>
          <w:sz w:val="24"/>
          <w:szCs w:val="24"/>
        </w:rPr>
        <w:t>Кроме этого, для ведение монитори</w:t>
      </w:r>
      <w:r w:rsidRPr="00EB1274">
        <w:rPr>
          <w:i/>
          <w:sz w:val="24"/>
          <w:szCs w:val="24"/>
        </w:rPr>
        <w:t>н</w:t>
      </w:r>
      <w:r w:rsidRPr="00EB1274">
        <w:rPr>
          <w:i/>
          <w:sz w:val="24"/>
          <w:szCs w:val="24"/>
        </w:rPr>
        <w:t>га подземных вод и ведение лабораторного контроля за качеством подземной воды необх</w:t>
      </w:r>
      <w:r w:rsidRPr="00EB1274">
        <w:rPr>
          <w:i/>
          <w:sz w:val="24"/>
          <w:szCs w:val="24"/>
        </w:rPr>
        <w:t>о</w:t>
      </w:r>
      <w:r w:rsidRPr="00EB1274">
        <w:rPr>
          <w:i/>
          <w:sz w:val="24"/>
          <w:szCs w:val="24"/>
        </w:rPr>
        <w:t>димы гидрогеолог и аккредитованная лаборатория, которых, как правило, нет в сельскох</w:t>
      </w:r>
      <w:r w:rsidRPr="00EB1274">
        <w:rPr>
          <w:i/>
          <w:sz w:val="24"/>
          <w:szCs w:val="24"/>
        </w:rPr>
        <w:t>о</w:t>
      </w:r>
      <w:r w:rsidRPr="00EB1274">
        <w:rPr>
          <w:i/>
          <w:sz w:val="24"/>
          <w:szCs w:val="24"/>
        </w:rPr>
        <w:t>зяйственных организациях.</w:t>
      </w:r>
      <w:proofErr w:type="gramEnd"/>
      <w:r w:rsidRPr="00EB1274">
        <w:rPr>
          <w:i/>
          <w:sz w:val="24"/>
          <w:szCs w:val="24"/>
        </w:rPr>
        <w:t xml:space="preserve"> В этом случае необходимо заключить договора со специализир</w:t>
      </w:r>
      <w:r w:rsidRPr="00EB1274">
        <w:rPr>
          <w:i/>
          <w:sz w:val="24"/>
          <w:szCs w:val="24"/>
        </w:rPr>
        <w:t>о</w:t>
      </w:r>
      <w:r w:rsidRPr="00EB1274">
        <w:rPr>
          <w:i/>
          <w:sz w:val="24"/>
          <w:szCs w:val="24"/>
        </w:rPr>
        <w:lastRenderedPageBreak/>
        <w:t xml:space="preserve">ванными организациями. Аттестат аккредитации лаборатории с приложением области аккредитации является документом, подтверждающим ее квалификацию.  </w:t>
      </w: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  <w:proofErr w:type="gramStart"/>
      <w:r w:rsidRPr="00201729">
        <w:rPr>
          <w:rFonts w:ascii="Arial" w:hAnsi="Arial" w:cs="Arial"/>
          <w:b/>
          <w:sz w:val="22"/>
          <w:szCs w:val="22"/>
        </w:rPr>
        <w:t>5) документы, подтверждающие наличие у заявителя или привлекаемых им юр</w:t>
      </w:r>
      <w:r w:rsidRPr="00201729">
        <w:rPr>
          <w:rFonts w:ascii="Arial" w:hAnsi="Arial" w:cs="Arial"/>
          <w:b/>
          <w:sz w:val="22"/>
          <w:szCs w:val="22"/>
        </w:rPr>
        <w:t>и</w:t>
      </w:r>
      <w:r w:rsidRPr="00201729">
        <w:rPr>
          <w:rFonts w:ascii="Arial" w:hAnsi="Arial" w:cs="Arial"/>
          <w:b/>
          <w:sz w:val="22"/>
          <w:szCs w:val="22"/>
        </w:rPr>
        <w:t>дических и физических лиц технических средств и технологического оборудования, необходимых для выполнения работ, связанных с заявленным видом пользования недрами: выписка по счету "Основные средства" на дату подачи заявления, сведения о наличии лицензий на осуществление работ в соответствии с заявленным видом пользования недрами и (или) договоры подряда, аренды оборудования с приложен</w:t>
      </w:r>
      <w:r w:rsidRPr="00201729">
        <w:rPr>
          <w:rFonts w:ascii="Arial" w:hAnsi="Arial" w:cs="Arial"/>
          <w:b/>
          <w:sz w:val="22"/>
          <w:szCs w:val="22"/>
        </w:rPr>
        <w:t>и</w:t>
      </w:r>
      <w:r w:rsidRPr="00201729">
        <w:rPr>
          <w:rFonts w:ascii="Arial" w:hAnsi="Arial" w:cs="Arial"/>
          <w:b/>
          <w:sz w:val="22"/>
          <w:szCs w:val="22"/>
        </w:rPr>
        <w:t>ем к</w:t>
      </w:r>
      <w:proofErr w:type="gramEnd"/>
      <w:r w:rsidRPr="00201729">
        <w:rPr>
          <w:rFonts w:ascii="Arial" w:hAnsi="Arial" w:cs="Arial"/>
          <w:b/>
          <w:sz w:val="22"/>
          <w:szCs w:val="22"/>
        </w:rPr>
        <w:t xml:space="preserve"> указанным договорам паспортов транспортных средств, технической документ</w:t>
      </w:r>
      <w:r w:rsidRPr="00201729">
        <w:rPr>
          <w:rFonts w:ascii="Arial" w:hAnsi="Arial" w:cs="Arial"/>
          <w:b/>
          <w:sz w:val="22"/>
          <w:szCs w:val="22"/>
        </w:rPr>
        <w:t>а</w:t>
      </w:r>
      <w:r w:rsidRPr="00201729">
        <w:rPr>
          <w:rFonts w:ascii="Arial" w:hAnsi="Arial" w:cs="Arial"/>
          <w:b/>
          <w:sz w:val="22"/>
          <w:szCs w:val="22"/>
        </w:rPr>
        <w:t>ции оборудования и устройств, а также сведений о наличии лицензий на осуществл</w:t>
      </w:r>
      <w:r w:rsidRPr="00201729">
        <w:rPr>
          <w:rFonts w:ascii="Arial" w:hAnsi="Arial" w:cs="Arial"/>
          <w:b/>
          <w:sz w:val="22"/>
          <w:szCs w:val="22"/>
        </w:rPr>
        <w:t>е</w:t>
      </w:r>
      <w:r w:rsidRPr="00201729">
        <w:rPr>
          <w:rFonts w:ascii="Arial" w:hAnsi="Arial" w:cs="Arial"/>
          <w:b/>
          <w:sz w:val="22"/>
          <w:szCs w:val="22"/>
        </w:rPr>
        <w:t>ние работ в соответствии с заявленным видом пользования недрами;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Выписка по счету «Основные средства» должна включать в себя скважины, защи</w:t>
      </w:r>
      <w:r w:rsidRPr="00EB1274">
        <w:rPr>
          <w:i/>
          <w:sz w:val="24"/>
          <w:szCs w:val="24"/>
        </w:rPr>
        <w:t>т</w:t>
      </w:r>
      <w:r w:rsidRPr="00EB1274">
        <w:rPr>
          <w:i/>
          <w:sz w:val="24"/>
          <w:szCs w:val="24"/>
        </w:rPr>
        <w:t xml:space="preserve">ные павильоны, приборы оснащения скважин, технические средства для ремонта скважин и т.п. Если технические средства для проведения ремонта у организации отсутствуют, необходимо заключить договора аренды оборудования с приложением к ним паспортов транспортных средств, технической документации оборудования и устройств.   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201729">
        <w:rPr>
          <w:rFonts w:ascii="Arial" w:hAnsi="Arial" w:cs="Arial"/>
          <w:b/>
          <w:sz w:val="22"/>
          <w:szCs w:val="22"/>
        </w:rPr>
        <w:t>6) согласованную с территориальным органом Федерального агентства водных ресурсов схему водопотребления и водоотведения</w:t>
      </w:r>
      <w:r w:rsidRPr="00201729">
        <w:rPr>
          <w:rFonts w:ascii="Arial" w:hAnsi="Arial" w:cs="Arial"/>
          <w:sz w:val="22"/>
          <w:szCs w:val="22"/>
        </w:rPr>
        <w:t>;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Схема водопотребления и водоотведения составляется в соответствии с Приказом Минприроды России от 08.07.2009 № 205 (выкопировка прилагается) и состоит непосре</w:t>
      </w:r>
      <w:r w:rsidRPr="00EB1274">
        <w:rPr>
          <w:i/>
          <w:sz w:val="24"/>
          <w:szCs w:val="24"/>
        </w:rPr>
        <w:t>д</w:t>
      </w:r>
      <w:r w:rsidRPr="00EB1274">
        <w:rPr>
          <w:i/>
          <w:sz w:val="24"/>
          <w:szCs w:val="24"/>
        </w:rPr>
        <w:t>ственно из графической схемы и водохозяйственного баланса (образец прилагается). Согл</w:t>
      </w:r>
      <w:r w:rsidRPr="00EB1274">
        <w:rPr>
          <w:i/>
          <w:sz w:val="24"/>
          <w:szCs w:val="24"/>
        </w:rPr>
        <w:t>а</w:t>
      </w:r>
      <w:r w:rsidRPr="00EB1274">
        <w:rPr>
          <w:i/>
          <w:sz w:val="24"/>
          <w:szCs w:val="24"/>
        </w:rPr>
        <w:t xml:space="preserve">сование схемы осуществляет Отдел водных ресурсов Донского БВУ по Липецкой области по адресу: </w:t>
      </w:r>
      <w:smartTag w:uri="urn:schemas-microsoft-com:office:smarttags" w:element="metricconverter">
        <w:smartTagPr>
          <w:attr w:name="ProductID" w:val="398019 г"/>
        </w:smartTagPr>
        <w:r w:rsidRPr="00EB1274">
          <w:rPr>
            <w:i/>
            <w:sz w:val="24"/>
            <w:szCs w:val="24"/>
          </w:rPr>
          <w:t xml:space="preserve">398019 </w:t>
        </w:r>
        <w:proofErr w:type="spellStart"/>
        <w:r w:rsidRPr="00EB1274">
          <w:rPr>
            <w:i/>
            <w:sz w:val="24"/>
            <w:szCs w:val="24"/>
          </w:rPr>
          <w:t>г</w:t>
        </w:r>
      </w:smartTag>
      <w:proofErr w:type="gramStart"/>
      <w:r w:rsidRPr="00EB1274">
        <w:rPr>
          <w:i/>
          <w:sz w:val="24"/>
          <w:szCs w:val="24"/>
        </w:rPr>
        <w:t>.Л</w:t>
      </w:r>
      <w:proofErr w:type="gramEnd"/>
      <w:r w:rsidRPr="00EB1274">
        <w:rPr>
          <w:i/>
          <w:sz w:val="24"/>
          <w:szCs w:val="24"/>
        </w:rPr>
        <w:t>ипецк</w:t>
      </w:r>
      <w:proofErr w:type="spellEnd"/>
      <w:r w:rsidRPr="00EB1274">
        <w:rPr>
          <w:i/>
          <w:sz w:val="24"/>
          <w:szCs w:val="24"/>
        </w:rPr>
        <w:t xml:space="preserve">, ул. Советская, д.3. Начальник отдела Устинов Андрей Семенович. Телефон, факс:(474) 223-39-59, 223-39-58, 223-39-60.  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proofErr w:type="gramStart"/>
      <w:r w:rsidRPr="00EB1274">
        <w:rPr>
          <w:i/>
          <w:sz w:val="24"/>
          <w:szCs w:val="24"/>
        </w:rPr>
        <w:t>(Для организации учета объема забора (изъятия) водных ресурсов из водных объектов и объема сброса сточных вод и (или) дренажных вод, их качества водопользователем с</w:t>
      </w:r>
      <w:r w:rsidRPr="00EB1274">
        <w:rPr>
          <w:i/>
          <w:sz w:val="24"/>
          <w:szCs w:val="24"/>
        </w:rPr>
        <w:t>о</w:t>
      </w:r>
      <w:r w:rsidRPr="00EB1274">
        <w:rPr>
          <w:i/>
          <w:sz w:val="24"/>
          <w:szCs w:val="24"/>
        </w:rPr>
        <w:t>ставляется схема систем водопотребления и водоотведения, предоставляющая информ</w:t>
      </w:r>
      <w:r w:rsidRPr="00EB1274">
        <w:rPr>
          <w:i/>
          <w:sz w:val="24"/>
          <w:szCs w:val="24"/>
        </w:rPr>
        <w:t>а</w:t>
      </w:r>
      <w:r w:rsidRPr="00EB1274">
        <w:rPr>
          <w:i/>
          <w:sz w:val="24"/>
          <w:szCs w:val="24"/>
        </w:rPr>
        <w:t>цию о размещении мест забора и сброса сточных вод и (или) дренажных вод, количестве и качестве забираемых (изымаемых) и сбрасываемых сточных вод и (или) дренажных вод, о системах оборотного водоснабжения</w:t>
      </w:r>
      <w:proofErr w:type="gramEnd"/>
      <w:r w:rsidRPr="00EB1274">
        <w:rPr>
          <w:i/>
          <w:sz w:val="24"/>
          <w:szCs w:val="24"/>
        </w:rPr>
        <w:t>, повторного использования вод, а также передачи (приема) воды потребителям.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Схема систем водопотребления и водоотведения (далее - Схема) подлежит согласов</w:t>
      </w:r>
      <w:r w:rsidRPr="00EB1274">
        <w:rPr>
          <w:i/>
          <w:sz w:val="24"/>
          <w:szCs w:val="24"/>
        </w:rPr>
        <w:t>а</w:t>
      </w:r>
      <w:r w:rsidRPr="00EB1274">
        <w:rPr>
          <w:i/>
          <w:sz w:val="24"/>
          <w:szCs w:val="24"/>
        </w:rPr>
        <w:t>нию территориальным органом Федерального агентства водных ресурсов в 15-дневный срок. В случае использования подземных водных объектов Схема подлежит также соглас</w:t>
      </w:r>
      <w:r w:rsidRPr="00EB1274">
        <w:rPr>
          <w:i/>
          <w:sz w:val="24"/>
          <w:szCs w:val="24"/>
        </w:rPr>
        <w:t>о</w:t>
      </w:r>
      <w:r w:rsidRPr="00EB1274">
        <w:rPr>
          <w:i/>
          <w:sz w:val="24"/>
          <w:szCs w:val="24"/>
        </w:rPr>
        <w:t>ванию территориальным органом Федерального агентства по недропользованию в 15-дневный срок.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Схема выполняется в графическом виде с приложением пояснительной записки и должна содержать: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а) ситуационный план местности с привязкой территории организации, эксплуатир</w:t>
      </w:r>
      <w:r w:rsidRPr="00EB1274">
        <w:rPr>
          <w:i/>
          <w:sz w:val="24"/>
          <w:szCs w:val="24"/>
        </w:rPr>
        <w:t>у</w:t>
      </w:r>
      <w:r w:rsidRPr="00EB1274">
        <w:rPr>
          <w:i/>
          <w:sz w:val="24"/>
          <w:szCs w:val="24"/>
        </w:rPr>
        <w:t>ющей водозаборные и (или) водосбросные сооружения, к водному объекту, используемому для забора (изъятия) водных ресурсов, сброса сточных вод и (или) дренажных вод с указан</w:t>
      </w:r>
      <w:r w:rsidRPr="00EB1274">
        <w:rPr>
          <w:i/>
          <w:sz w:val="24"/>
          <w:szCs w:val="24"/>
        </w:rPr>
        <w:t>и</w:t>
      </w:r>
      <w:r w:rsidRPr="00EB1274">
        <w:rPr>
          <w:i/>
          <w:sz w:val="24"/>
          <w:szCs w:val="24"/>
        </w:rPr>
        <w:t>ем: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 xml:space="preserve">наименования водного объекта - </w:t>
      </w:r>
      <w:proofErr w:type="spellStart"/>
      <w:r w:rsidRPr="00EB1274">
        <w:rPr>
          <w:i/>
          <w:sz w:val="24"/>
          <w:szCs w:val="24"/>
        </w:rPr>
        <w:t>водоисточника</w:t>
      </w:r>
      <w:proofErr w:type="spellEnd"/>
      <w:r w:rsidRPr="00EB1274">
        <w:rPr>
          <w:i/>
          <w:sz w:val="24"/>
          <w:szCs w:val="24"/>
        </w:rPr>
        <w:t xml:space="preserve"> и водоприемника;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мест размещения забора (изъятия) водных ресурсов и сброса сточных вод и (или) др</w:t>
      </w:r>
      <w:r w:rsidRPr="00EB1274">
        <w:rPr>
          <w:i/>
          <w:sz w:val="24"/>
          <w:szCs w:val="24"/>
        </w:rPr>
        <w:t>е</w:t>
      </w:r>
      <w:r w:rsidRPr="00EB1274">
        <w:rPr>
          <w:i/>
          <w:sz w:val="24"/>
          <w:szCs w:val="24"/>
        </w:rPr>
        <w:t>нажных вод с их нумерацией;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б) план территории организации, эксплуатирующей водозаборные и (или) водосбро</w:t>
      </w:r>
      <w:r w:rsidRPr="00EB1274">
        <w:rPr>
          <w:i/>
          <w:sz w:val="24"/>
          <w:szCs w:val="24"/>
        </w:rPr>
        <w:t>с</w:t>
      </w:r>
      <w:r w:rsidRPr="00EB1274">
        <w:rPr>
          <w:i/>
          <w:sz w:val="24"/>
          <w:szCs w:val="24"/>
        </w:rPr>
        <w:t>ные сооружения, с наложением сетей водоснабжения, водоотведения и ливневой канализ</w:t>
      </w:r>
      <w:r w:rsidRPr="00EB1274">
        <w:rPr>
          <w:i/>
          <w:sz w:val="24"/>
          <w:szCs w:val="24"/>
        </w:rPr>
        <w:t>а</w:t>
      </w:r>
      <w:r w:rsidRPr="00EB1274">
        <w:rPr>
          <w:i/>
          <w:sz w:val="24"/>
          <w:szCs w:val="24"/>
        </w:rPr>
        <w:t xml:space="preserve">ции с указанием:  мест установки средств измерений для учета </w:t>
      </w:r>
      <w:proofErr w:type="gramStart"/>
      <w:r w:rsidRPr="00EB1274">
        <w:rPr>
          <w:i/>
          <w:sz w:val="24"/>
          <w:szCs w:val="24"/>
        </w:rPr>
        <w:t>количества</w:t>
      </w:r>
      <w:proofErr w:type="gramEnd"/>
      <w:r w:rsidRPr="00EB1274">
        <w:rPr>
          <w:i/>
          <w:sz w:val="24"/>
          <w:szCs w:val="24"/>
        </w:rPr>
        <w:t xml:space="preserve"> забираемых (изымаемых) и сбрасываемых сточных вод и (или) дренажных вод с их нумерацией;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мест размещения очистных сооружений.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Пояснительная записка к Схеме должна содержать: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lastRenderedPageBreak/>
        <w:t>водохозяйственный баланс намечаемого водопользования, составленный на основе о</w:t>
      </w:r>
      <w:r w:rsidRPr="00EB1274">
        <w:rPr>
          <w:i/>
          <w:sz w:val="24"/>
          <w:szCs w:val="24"/>
        </w:rPr>
        <w:t>т</w:t>
      </w:r>
      <w:r w:rsidRPr="00EB1274">
        <w:rPr>
          <w:i/>
          <w:sz w:val="24"/>
          <w:szCs w:val="24"/>
        </w:rPr>
        <w:t>раслевых индивидуальных норм водопотребления и водоотведения;</w:t>
      </w:r>
    </w:p>
    <w:p w:rsidR="00487748" w:rsidRPr="00EB1274" w:rsidRDefault="00487748" w:rsidP="00487748">
      <w:pPr>
        <w:autoSpaceDE w:val="0"/>
        <w:autoSpaceDN w:val="0"/>
        <w:adjustRightInd w:val="0"/>
        <w:spacing w:line="264" w:lineRule="auto"/>
        <w:ind w:firstLine="539"/>
        <w:contextualSpacing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иные сведения, характеризующие количество и качество забираемых (изымаемых) и сбрасываемых сточных вод и (или) дренажных вод.)</w:t>
      </w:r>
    </w:p>
    <w:p w:rsidR="00487748" w:rsidRPr="00201729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201729">
        <w:rPr>
          <w:rFonts w:ascii="Arial" w:hAnsi="Arial" w:cs="Arial"/>
          <w:b/>
          <w:sz w:val="22"/>
          <w:szCs w:val="22"/>
        </w:rPr>
        <w:t>) информацию, характеризующую источник водоснабжения, включающую ге</w:t>
      </w:r>
      <w:r w:rsidRPr="00201729">
        <w:rPr>
          <w:rFonts w:ascii="Arial" w:hAnsi="Arial" w:cs="Arial"/>
          <w:b/>
          <w:sz w:val="22"/>
          <w:szCs w:val="22"/>
        </w:rPr>
        <w:t>о</w:t>
      </w:r>
      <w:r w:rsidRPr="00201729">
        <w:rPr>
          <w:rFonts w:ascii="Arial" w:hAnsi="Arial" w:cs="Arial"/>
          <w:b/>
          <w:sz w:val="22"/>
          <w:szCs w:val="22"/>
        </w:rPr>
        <w:t>логическое, гидрогеологическое и санитарное описание участка водоснабжения, х</w:t>
      </w:r>
      <w:r w:rsidRPr="00201729">
        <w:rPr>
          <w:rFonts w:ascii="Arial" w:hAnsi="Arial" w:cs="Arial"/>
          <w:b/>
          <w:sz w:val="22"/>
          <w:szCs w:val="22"/>
        </w:rPr>
        <w:t>а</w:t>
      </w:r>
      <w:r w:rsidRPr="00201729">
        <w:rPr>
          <w:rFonts w:ascii="Arial" w:hAnsi="Arial" w:cs="Arial"/>
          <w:b/>
          <w:sz w:val="22"/>
          <w:szCs w:val="22"/>
        </w:rPr>
        <w:t>рактеристику водоносного горизонта, сведения о водопроницаемости слоев, данные о возможности организации зоны санитарной охраны источника водоснабжения, о необходимости обработки воды и о смежных водозаборах, имеющих ту же область питания.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Информация составляется на основании архивных геолого-гидрогеологических мат</w:t>
      </w:r>
      <w:r w:rsidRPr="00EB1274">
        <w:rPr>
          <w:i/>
          <w:sz w:val="24"/>
          <w:szCs w:val="24"/>
        </w:rPr>
        <w:t>е</w:t>
      </w:r>
      <w:r w:rsidRPr="00EB1274">
        <w:rPr>
          <w:i/>
          <w:sz w:val="24"/>
          <w:szCs w:val="24"/>
        </w:rPr>
        <w:t>риалов по форме, рекомендуемой СанПиН 2.1.4.1110-02 (выкопировка прилагается). Инфо</w:t>
      </w:r>
      <w:r w:rsidRPr="00EB1274">
        <w:rPr>
          <w:i/>
          <w:sz w:val="24"/>
          <w:szCs w:val="24"/>
        </w:rPr>
        <w:t>р</w:t>
      </w:r>
      <w:r w:rsidRPr="00EB1274">
        <w:rPr>
          <w:i/>
          <w:sz w:val="24"/>
          <w:szCs w:val="24"/>
        </w:rPr>
        <w:t>мация подготавливается специализированными организациями, например: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 xml:space="preserve">– ТЦ «Липецкгеомониторинг» по адресу: г. Липецк, пер. Попова, 6. Директор Бойко Сергей Михайлович. Телефон: 34-56-12. 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–  АО «Липецкгеология» по адресу: г. Липецк, пер. Попова, 6. Генеральный директор Хвостов Александр Яковлевич. Телефон: 34-63-68.</w:t>
      </w:r>
    </w:p>
    <w:p w:rsidR="00487748" w:rsidRPr="00EB1274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EB1274">
        <w:rPr>
          <w:i/>
          <w:sz w:val="24"/>
          <w:szCs w:val="24"/>
        </w:rPr>
        <w:t>– Липецкий филиал ФБУ «</w:t>
      </w:r>
      <w:proofErr w:type="spellStart"/>
      <w:r w:rsidRPr="00EB1274">
        <w:rPr>
          <w:i/>
          <w:sz w:val="24"/>
          <w:szCs w:val="24"/>
        </w:rPr>
        <w:t>Территоральный</w:t>
      </w:r>
      <w:proofErr w:type="spellEnd"/>
      <w:r w:rsidRPr="00EB1274">
        <w:rPr>
          <w:i/>
          <w:sz w:val="24"/>
          <w:szCs w:val="24"/>
        </w:rPr>
        <w:t xml:space="preserve"> фонд геологической информации по ЦФО» по адресу: г. Липецк, пер. Попова, 6. Директор Минаков Валерий Викторович. Телефон:35-58-56. </w:t>
      </w: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  <w:r w:rsidRPr="00EB1274">
        <w:rPr>
          <w:i/>
          <w:sz w:val="24"/>
          <w:szCs w:val="24"/>
        </w:rPr>
        <w:t xml:space="preserve"> </w:t>
      </w: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</w:p>
    <w:p w:rsidR="00487748" w:rsidRDefault="00487748" w:rsidP="0048774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2"/>
          <w:szCs w:val="22"/>
          <w:u w:val="single"/>
        </w:rPr>
      </w:pPr>
    </w:p>
    <w:sectPr w:rsidR="00487748" w:rsidSect="004877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A9" w:rsidRDefault="001666A9" w:rsidP="00487748">
      <w:pPr>
        <w:spacing w:line="240" w:lineRule="auto"/>
      </w:pPr>
      <w:r>
        <w:separator/>
      </w:r>
    </w:p>
  </w:endnote>
  <w:endnote w:type="continuationSeparator" w:id="0">
    <w:p w:rsidR="001666A9" w:rsidRDefault="001666A9" w:rsidP="00487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A9" w:rsidRDefault="001666A9" w:rsidP="00487748">
      <w:pPr>
        <w:spacing w:line="240" w:lineRule="auto"/>
      </w:pPr>
      <w:r>
        <w:separator/>
      </w:r>
    </w:p>
  </w:footnote>
  <w:footnote w:type="continuationSeparator" w:id="0">
    <w:p w:rsidR="001666A9" w:rsidRDefault="001666A9" w:rsidP="004877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48"/>
    <w:rsid w:val="000A7F8B"/>
    <w:rsid w:val="000F0F90"/>
    <w:rsid w:val="001666A9"/>
    <w:rsid w:val="00487748"/>
    <w:rsid w:val="0084137F"/>
    <w:rsid w:val="008C039F"/>
    <w:rsid w:val="00E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7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7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2017-02-16T08:57:00Z</dcterms:created>
  <dcterms:modified xsi:type="dcterms:W3CDTF">2017-02-16T09:04:00Z</dcterms:modified>
</cp:coreProperties>
</file>